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81F33" w:rsidRDefault="00F92268" w:rsidP="00850792">
      <w:pPr>
        <w:pStyle w:val="BodyText"/>
        <w:rPr>
          <w:sz w:val="6"/>
          <w:szCs w:val="6"/>
        </w:rPr>
      </w:pPr>
      <w:r w:rsidRPr="00C81F33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81F33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81F33" w:rsidRDefault="00F92268" w:rsidP="00F246C7">
            <w:pPr>
              <w:pStyle w:val="RefTableData"/>
            </w:pPr>
            <w:r w:rsidRPr="00C81F33">
              <w:t>Reference number(s)</w:t>
            </w:r>
          </w:p>
        </w:tc>
      </w:tr>
      <w:tr w:rsidR="00F92268" w:rsidRPr="00C81F33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8D624F3" w:rsidR="00F92268" w:rsidRPr="00C81F33" w:rsidRDefault="00B952E2" w:rsidP="00F246C7">
            <w:pPr>
              <w:pStyle w:val="RefTableHeader"/>
            </w:pPr>
            <w:r w:rsidRPr="00C81F33">
              <w:t>2871-A</w:t>
            </w:r>
          </w:p>
        </w:tc>
      </w:tr>
    </w:tbl>
    <w:p w14:paraId="74FBA5B4" w14:textId="77777777" w:rsidR="00051356" w:rsidRPr="00C81F33" w:rsidRDefault="00051356" w:rsidP="00A672B3">
      <w:pPr>
        <w:pStyle w:val="BodyText"/>
        <w:rPr>
          <w:b/>
          <w:bCs/>
          <w:sz w:val="16"/>
          <w:szCs w:val="16"/>
        </w:rPr>
        <w:sectPr w:rsidR="00051356" w:rsidRPr="00C81F33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DF94DFB" w:rsidR="004B15BB" w:rsidRPr="00C81F33" w:rsidRDefault="00763931" w:rsidP="00763931">
      <w:pPr>
        <w:pStyle w:val="Heading1"/>
      </w:pPr>
      <w:r w:rsidRPr="00C81F33">
        <w:t>Specialty Guideline Management</w:t>
      </w:r>
      <w:r w:rsidRPr="00C81F33">
        <w:br/>
        <w:t>Cablivi</w:t>
      </w:r>
    </w:p>
    <w:p w14:paraId="78861C92" w14:textId="257A53D0" w:rsidR="00203468" w:rsidRPr="00C81F33" w:rsidRDefault="00C64534" w:rsidP="008E0F0D">
      <w:pPr>
        <w:pStyle w:val="Heading2"/>
      </w:pPr>
      <w:r w:rsidRPr="00C81F33">
        <w:t xml:space="preserve">Products Referenced by this </w:t>
      </w:r>
      <w:r w:rsidR="00501602" w:rsidRPr="00C81F33">
        <w:t>Document</w:t>
      </w:r>
    </w:p>
    <w:p w14:paraId="5455152B" w14:textId="0A0757D0" w:rsidR="008E0F0D" w:rsidRPr="00C81F33" w:rsidRDefault="00D82D85" w:rsidP="008B73E8">
      <w:pPr>
        <w:pStyle w:val="BodyText"/>
      </w:pPr>
      <w:r w:rsidRPr="00C81F33">
        <w:t xml:space="preserve">Drugs that are listed in the </w:t>
      </w:r>
      <w:r w:rsidR="000315F1" w:rsidRPr="00C81F33">
        <w:t>following table</w:t>
      </w:r>
      <w:r w:rsidRPr="00C81F33">
        <w:t xml:space="preserve"> include both brand and generic and all dosage forms and strengths unless otherwise stated. </w:t>
      </w:r>
      <w:r w:rsidR="006D0D19">
        <w:rPr>
          <w:rStyle w:val="ui-provider"/>
        </w:rPr>
        <w:t>Over-the-counter (OTC)</w:t>
      </w:r>
      <w:r w:rsidRPr="00C81F33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C81F33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C81F33" w:rsidRDefault="005B4D7C">
            <w:pPr>
              <w:pStyle w:val="TableHeader"/>
            </w:pPr>
            <w:r w:rsidRPr="00C81F33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C81F33" w:rsidRDefault="005B4D7C">
            <w:pPr>
              <w:pStyle w:val="TableHeader"/>
            </w:pPr>
            <w:r w:rsidRPr="00C81F33">
              <w:t>Generic Name</w:t>
            </w:r>
          </w:p>
        </w:tc>
      </w:tr>
      <w:tr w:rsidR="005B4D7C" w:rsidRPr="00C81F33" w14:paraId="7742B1EC" w14:textId="77777777">
        <w:trPr>
          <w:cantSplit/>
        </w:trPr>
        <w:tc>
          <w:tcPr>
            <w:tcW w:w="5265" w:type="dxa"/>
          </w:tcPr>
          <w:p w14:paraId="4DED0C9B" w14:textId="212CCE95" w:rsidR="005B4D7C" w:rsidRPr="00C81F33" w:rsidRDefault="000C3CC7">
            <w:pPr>
              <w:pStyle w:val="TableDataUnpadded"/>
            </w:pPr>
            <w:r w:rsidRPr="00C81F33">
              <w:rPr>
                <w:rFonts w:cs="Times New Roman"/>
              </w:rPr>
              <w:t>C</w:t>
            </w:r>
            <w:r w:rsidRPr="00C81F33">
              <w:t>ablivi</w:t>
            </w:r>
          </w:p>
        </w:tc>
        <w:tc>
          <w:tcPr>
            <w:tcW w:w="5595" w:type="dxa"/>
          </w:tcPr>
          <w:p w14:paraId="1A09710D" w14:textId="5432C9CE" w:rsidR="005B4D7C" w:rsidRPr="00C81F33" w:rsidRDefault="000C3CC7">
            <w:pPr>
              <w:pStyle w:val="TableDataUnpadded"/>
            </w:pPr>
            <w:r w:rsidRPr="00C81F33">
              <w:rPr>
                <w:rFonts w:cs="Times New Roman"/>
              </w:rPr>
              <w:t>caplacizumab-yhdp</w:t>
            </w:r>
          </w:p>
        </w:tc>
      </w:tr>
    </w:tbl>
    <w:p w14:paraId="14CE6108" w14:textId="054D742E" w:rsidR="00FC1AAD" w:rsidRDefault="00ED052F" w:rsidP="00AA2A94">
      <w:pPr>
        <w:pStyle w:val="Heading2"/>
        <w:tabs>
          <w:tab w:val="left" w:pos="9540"/>
        </w:tabs>
      </w:pPr>
      <w:r w:rsidRPr="00C81F33">
        <w:t>Indications</w:t>
      </w:r>
    </w:p>
    <w:p w14:paraId="36169D7E" w14:textId="77777777" w:rsidR="0060000A" w:rsidRPr="00CA39C2" w:rsidRDefault="0060000A" w:rsidP="0060000A">
      <w:pPr>
        <w:pStyle w:val="BodyText"/>
      </w:pPr>
      <w:r w:rsidRPr="00CA39C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0D0C94C" w14:textId="69984E1A" w:rsidR="00CE54F1" w:rsidRPr="00C81F33" w:rsidRDefault="00CE54F1" w:rsidP="00CE54F1">
      <w:pPr>
        <w:pStyle w:val="Heading3"/>
        <w:keepNext w:val="0"/>
      </w:pPr>
      <w:r w:rsidRPr="00C81F33">
        <w:t>FDA-</w:t>
      </w:r>
      <w:r w:rsidR="0060000A">
        <w:t>a</w:t>
      </w:r>
      <w:r w:rsidRPr="00C81F33">
        <w:t>pproved Indication</w:t>
      </w:r>
    </w:p>
    <w:p w14:paraId="2AA25D1F" w14:textId="77777777" w:rsidR="00BF6482" w:rsidRPr="00C81F33" w:rsidRDefault="00BF6482" w:rsidP="00BF6482">
      <w:pPr>
        <w:pStyle w:val="BodyText"/>
      </w:pPr>
      <w:r w:rsidRPr="00C81F33">
        <w:t>Cablivi is indicated for the treatment of adult patients with acquired thrombotic thrombocytopenic purpura (</w:t>
      </w:r>
      <w:proofErr w:type="spellStart"/>
      <w:r w:rsidRPr="00C81F33">
        <w:t>aTTP</w:t>
      </w:r>
      <w:proofErr w:type="spellEnd"/>
      <w:r w:rsidRPr="00C81F33">
        <w:t>), in combination with plasma exchange and immunosuppressive therapy.</w:t>
      </w:r>
    </w:p>
    <w:p w14:paraId="43B7A723" w14:textId="77777777" w:rsidR="00BF6482" w:rsidRPr="0060000A" w:rsidRDefault="00BF6482" w:rsidP="0060000A">
      <w:pPr>
        <w:pStyle w:val="BodyText"/>
      </w:pPr>
      <w:r w:rsidRPr="0060000A">
        <w:t xml:space="preserve">All other indications are considered experimental/investigational and </w:t>
      </w:r>
      <w:r w:rsidRPr="0060000A">
        <w:rPr>
          <w:rFonts w:eastAsia="Arial"/>
        </w:rPr>
        <w:t>not medically necessary.</w:t>
      </w:r>
    </w:p>
    <w:p w14:paraId="36381B6D" w14:textId="4BD610C5" w:rsidR="000D2496" w:rsidRPr="00C81F33" w:rsidRDefault="000D2496" w:rsidP="000D2496">
      <w:pPr>
        <w:pStyle w:val="Heading2"/>
      </w:pPr>
      <w:r w:rsidRPr="00C81F33">
        <w:t>Documentation</w:t>
      </w:r>
    </w:p>
    <w:p w14:paraId="32B076C9" w14:textId="77777777" w:rsidR="00B84233" w:rsidRPr="0060000A" w:rsidRDefault="00B84233" w:rsidP="0060000A">
      <w:pPr>
        <w:pStyle w:val="BodyText"/>
      </w:pPr>
      <w:r w:rsidRPr="0060000A">
        <w:t>Submission of the following information is necessary to initiate the prior authorization review:</w:t>
      </w:r>
    </w:p>
    <w:p w14:paraId="36C9BE82" w14:textId="50315A4B" w:rsidR="00B84233" w:rsidRPr="0060000A" w:rsidRDefault="00B84233" w:rsidP="0060000A">
      <w:pPr>
        <w:pStyle w:val="BodyText"/>
      </w:pPr>
      <w:r w:rsidRPr="0060000A">
        <w:t xml:space="preserve">For continuation of therapy, medical record documentation of signs of persistent underlying </w:t>
      </w:r>
      <w:proofErr w:type="spellStart"/>
      <w:r w:rsidRPr="0060000A">
        <w:t>aTTP</w:t>
      </w:r>
      <w:proofErr w:type="spellEnd"/>
    </w:p>
    <w:p w14:paraId="50A38FBA" w14:textId="0B57E1A3" w:rsidR="00FE0C63" w:rsidRPr="00C81F33" w:rsidRDefault="00685107" w:rsidP="002B232F">
      <w:pPr>
        <w:pStyle w:val="Heading2"/>
        <w:tabs>
          <w:tab w:val="left" w:pos="9320"/>
        </w:tabs>
      </w:pPr>
      <w:r w:rsidRPr="00C81F33">
        <w:lastRenderedPageBreak/>
        <w:t>Coverage Criteria</w:t>
      </w:r>
    </w:p>
    <w:p w14:paraId="06FE15E5" w14:textId="2C5D015C" w:rsidR="00B84233" w:rsidRPr="00C81F33" w:rsidRDefault="00B84233" w:rsidP="00B84233">
      <w:pPr>
        <w:pStyle w:val="Heading3"/>
      </w:pPr>
      <w:r w:rsidRPr="00C81F33">
        <w:t xml:space="preserve">Acquired </w:t>
      </w:r>
      <w:r w:rsidR="0060000A" w:rsidRPr="00C81F33">
        <w:t xml:space="preserve">Thrombotic Thrombocytopenic Purpura </w:t>
      </w:r>
      <w:r w:rsidRPr="00C81F33">
        <w:t>(</w:t>
      </w:r>
      <w:proofErr w:type="spellStart"/>
      <w:r w:rsidRPr="00C81F33">
        <w:t>aTTP</w:t>
      </w:r>
      <w:proofErr w:type="spellEnd"/>
      <w:r w:rsidRPr="00C81F33">
        <w:t>)</w:t>
      </w:r>
    </w:p>
    <w:p w14:paraId="5C9AA5F7" w14:textId="77777777" w:rsidR="00B84233" w:rsidRPr="00C81F33" w:rsidRDefault="00B84233" w:rsidP="00B84233">
      <w:pPr>
        <w:pStyle w:val="BodyText"/>
      </w:pPr>
      <w:r w:rsidRPr="00C81F33">
        <w:t>Authorization of 30 days may be granted for treatment of acquired thrombotic thrombocytopenic purpura (</w:t>
      </w:r>
      <w:proofErr w:type="spellStart"/>
      <w:r w:rsidRPr="00C81F33">
        <w:t>aTTP</w:t>
      </w:r>
      <w:proofErr w:type="spellEnd"/>
      <w:r w:rsidRPr="00C81F33">
        <w:t>), after the plasma exchange period in the inpatient setting, when all of the following criteria are met:</w:t>
      </w:r>
    </w:p>
    <w:p w14:paraId="33DDE247" w14:textId="77777777" w:rsidR="00B84233" w:rsidRPr="00C81F33" w:rsidRDefault="00B84233" w:rsidP="00B84233">
      <w:pPr>
        <w:pStyle w:val="ListParagraph"/>
      </w:pPr>
      <w:r w:rsidRPr="00C81F33">
        <w:t>The member received the requested medication with plasma exchange.</w:t>
      </w:r>
    </w:p>
    <w:p w14:paraId="623E86B2" w14:textId="77777777" w:rsidR="00B84233" w:rsidRPr="00C81F33" w:rsidRDefault="00B84233" w:rsidP="00B84233">
      <w:pPr>
        <w:pStyle w:val="ListParagraph"/>
      </w:pPr>
      <w:r w:rsidRPr="00C81F33">
        <w:t>The requested medication will be given in combination with immunosuppressive therapy.</w:t>
      </w:r>
    </w:p>
    <w:p w14:paraId="13C250C1" w14:textId="77777777" w:rsidR="00B84233" w:rsidRPr="00C81F33" w:rsidRDefault="00B84233" w:rsidP="00B84233">
      <w:pPr>
        <w:pStyle w:val="ListParagraph"/>
      </w:pPr>
      <w:r w:rsidRPr="00C81F33">
        <w:t xml:space="preserve">The member will not receive the requested medication beyond 30 days from the cessation of plasma exchange unless the member has documented persistent </w:t>
      </w:r>
      <w:proofErr w:type="spellStart"/>
      <w:r w:rsidRPr="00C81F33">
        <w:t>aTTP</w:t>
      </w:r>
      <w:proofErr w:type="spellEnd"/>
      <w:r w:rsidRPr="00C81F33">
        <w:t>.</w:t>
      </w:r>
    </w:p>
    <w:p w14:paraId="20A0B9C8" w14:textId="77777777" w:rsidR="00B84233" w:rsidRPr="00C81F33" w:rsidRDefault="00B84233" w:rsidP="00B84233">
      <w:pPr>
        <w:pStyle w:val="ListParagraph"/>
      </w:pPr>
      <w:r w:rsidRPr="00C81F33">
        <w:t xml:space="preserve">The member has not experienced more than 2 recurrences of </w:t>
      </w:r>
      <w:proofErr w:type="spellStart"/>
      <w:r w:rsidRPr="00C81F33">
        <w:t>aTTP</w:t>
      </w:r>
      <w:proofErr w:type="spellEnd"/>
      <w:r w:rsidRPr="00C81F33">
        <w:t xml:space="preserve"> while on the requested medication. (A recurrence is when the member needs to reinitiate plasma exchange. A 28-day extension of therapy does not count as a recurrence.)</w:t>
      </w:r>
    </w:p>
    <w:p w14:paraId="3A643EC3" w14:textId="7585C867" w:rsidR="00A501AC" w:rsidRPr="00C81F33" w:rsidRDefault="00A501AC" w:rsidP="00A501AC">
      <w:pPr>
        <w:pStyle w:val="Heading2"/>
      </w:pPr>
      <w:r w:rsidRPr="00C81F33">
        <w:t>Continuation of Therapy</w:t>
      </w:r>
    </w:p>
    <w:p w14:paraId="1FF05FAA" w14:textId="77777777" w:rsidR="00E67C9F" w:rsidRPr="00C81F33" w:rsidRDefault="00E67C9F" w:rsidP="00E67C9F">
      <w:pPr>
        <w:pStyle w:val="BodyText"/>
      </w:pPr>
      <w:r w:rsidRPr="00C81F33">
        <w:t xml:space="preserve">Authorization of 28 days may be granted for continuation of therapy for </w:t>
      </w:r>
      <w:proofErr w:type="spellStart"/>
      <w:r w:rsidRPr="00C81F33">
        <w:t>aTTP</w:t>
      </w:r>
      <w:proofErr w:type="spellEnd"/>
      <w:r w:rsidRPr="00C81F33">
        <w:t xml:space="preserve"> when all of the following criteria are met:</w:t>
      </w:r>
    </w:p>
    <w:p w14:paraId="6392CE81" w14:textId="77777777" w:rsidR="00E67C9F" w:rsidRPr="00C81F33" w:rsidRDefault="00E67C9F" w:rsidP="0060000A">
      <w:pPr>
        <w:pStyle w:val="ListParagraph"/>
        <w:numPr>
          <w:ilvl w:val="0"/>
          <w:numId w:val="39"/>
        </w:numPr>
      </w:pPr>
      <w:r w:rsidRPr="00C81F33">
        <w:t>The request for continuation of therapy is for extension of therapy after the initial course of the requested medication (initial course: treatment with the requested medication during and 30 days after plasma exchange).</w:t>
      </w:r>
    </w:p>
    <w:p w14:paraId="12090B39" w14:textId="130FFB4C" w:rsidR="00E67C9F" w:rsidRPr="00C81F33" w:rsidRDefault="00E67C9F" w:rsidP="0060000A">
      <w:pPr>
        <w:pStyle w:val="ListParagraph"/>
        <w:numPr>
          <w:ilvl w:val="0"/>
          <w:numId w:val="39"/>
        </w:numPr>
      </w:pPr>
      <w:r w:rsidRPr="00C81F33">
        <w:t xml:space="preserve">The member has either of the following documented signs of persistent underlying </w:t>
      </w:r>
      <w:proofErr w:type="spellStart"/>
      <w:r w:rsidRPr="00C81F33">
        <w:t>aTTP</w:t>
      </w:r>
      <w:proofErr w:type="spellEnd"/>
      <w:r w:rsidRPr="00C81F33">
        <w:t>:</w:t>
      </w:r>
    </w:p>
    <w:p w14:paraId="000053D1" w14:textId="672840EA" w:rsidR="00E67C9F" w:rsidRPr="00C81F33" w:rsidRDefault="00E67C9F" w:rsidP="0060000A">
      <w:pPr>
        <w:pStyle w:val="ListParagraph"/>
        <w:numPr>
          <w:ilvl w:val="1"/>
          <w:numId w:val="39"/>
        </w:numPr>
      </w:pPr>
      <w:r w:rsidRPr="00C81F33">
        <w:t>ADAMTS13 activity level less than 10% or</w:t>
      </w:r>
    </w:p>
    <w:p w14:paraId="279C1EB1" w14:textId="0E4F3497" w:rsidR="00E67C9F" w:rsidRPr="00C81F33" w:rsidRDefault="00E67C9F" w:rsidP="0060000A">
      <w:pPr>
        <w:pStyle w:val="ListParagraph"/>
        <w:numPr>
          <w:ilvl w:val="1"/>
          <w:numId w:val="39"/>
        </w:numPr>
      </w:pPr>
      <w:r w:rsidRPr="00C81F33">
        <w:t>All of the following:</w:t>
      </w:r>
    </w:p>
    <w:p w14:paraId="2B5234C2" w14:textId="77777777" w:rsidR="00E67C9F" w:rsidRPr="00C81F33" w:rsidRDefault="00E67C9F" w:rsidP="0060000A">
      <w:pPr>
        <w:pStyle w:val="ListParagraph"/>
        <w:numPr>
          <w:ilvl w:val="2"/>
          <w:numId w:val="39"/>
        </w:numPr>
      </w:pPr>
      <w:r w:rsidRPr="00C81F33">
        <w:t>Microangiopathic hemolytic anemia (MAHA) documented by the presence of schistocytes on peripheral smear</w:t>
      </w:r>
    </w:p>
    <w:p w14:paraId="0BBED08B" w14:textId="77777777" w:rsidR="00E67C9F" w:rsidRPr="00C81F33" w:rsidRDefault="00E67C9F" w:rsidP="0060000A">
      <w:pPr>
        <w:pStyle w:val="ListParagraph"/>
        <w:numPr>
          <w:ilvl w:val="2"/>
          <w:numId w:val="39"/>
        </w:numPr>
      </w:pPr>
      <w:r w:rsidRPr="00C81F33">
        <w:t>Thrombocytopenia (platelet count below normal per laboratory reference range), and</w:t>
      </w:r>
    </w:p>
    <w:p w14:paraId="325324B6" w14:textId="77777777" w:rsidR="00E67C9F" w:rsidRPr="00C81F33" w:rsidRDefault="00E67C9F" w:rsidP="0060000A">
      <w:pPr>
        <w:pStyle w:val="ListParagraph"/>
        <w:numPr>
          <w:ilvl w:val="2"/>
          <w:numId w:val="39"/>
        </w:numPr>
      </w:pPr>
      <w:r w:rsidRPr="00C81F33">
        <w:t>Elevated lactate dehydrogenase (LDH) level (LDH level above normal per laboratory reference range)</w:t>
      </w:r>
    </w:p>
    <w:p w14:paraId="3AB42725" w14:textId="77777777" w:rsidR="00E67C9F" w:rsidRPr="00C81F33" w:rsidRDefault="00E67C9F" w:rsidP="0060000A">
      <w:pPr>
        <w:pStyle w:val="ListParagraph"/>
        <w:numPr>
          <w:ilvl w:val="0"/>
          <w:numId w:val="39"/>
        </w:numPr>
      </w:pPr>
      <w:r w:rsidRPr="00C81F33">
        <w:t>The requested medication will be given in combination with immunosuppressive therapy.</w:t>
      </w:r>
    </w:p>
    <w:p w14:paraId="2C4E85CB" w14:textId="77777777" w:rsidR="00E67C9F" w:rsidRPr="00C81F33" w:rsidRDefault="00E67C9F" w:rsidP="0060000A">
      <w:pPr>
        <w:pStyle w:val="ListParagraph"/>
        <w:numPr>
          <w:ilvl w:val="0"/>
          <w:numId w:val="39"/>
        </w:numPr>
      </w:pPr>
      <w:r w:rsidRPr="00C81F33">
        <w:t>The member has not received a prior 28-day extension of therapy after the initial course of the requested medication for this course of treatment.</w:t>
      </w:r>
    </w:p>
    <w:p w14:paraId="5F3F14B6" w14:textId="627065AF" w:rsidR="00E67C9F" w:rsidRPr="00B961BF" w:rsidRDefault="00E67C9F" w:rsidP="0060000A">
      <w:pPr>
        <w:pStyle w:val="ListParagraph"/>
        <w:numPr>
          <w:ilvl w:val="0"/>
          <w:numId w:val="39"/>
        </w:numPr>
      </w:pPr>
      <w:r w:rsidRPr="00C81F33">
        <w:t xml:space="preserve">The member has not experienced more than 2 recurrences of </w:t>
      </w:r>
      <w:proofErr w:type="spellStart"/>
      <w:r w:rsidRPr="00C81F33">
        <w:t>aTTP</w:t>
      </w:r>
      <w:proofErr w:type="spellEnd"/>
      <w:r w:rsidRPr="00C81F33">
        <w:t xml:space="preserve"> while on the requested medication. (A recurrence is when the member needs to reinitiate plasma exchange. A 28-day extension of therapy does not count as a recurrence.)</w:t>
      </w:r>
    </w:p>
    <w:p w14:paraId="10DA4309" w14:textId="15F89927" w:rsidR="00FF66BF" w:rsidRPr="00C81F33" w:rsidRDefault="00FF66BF" w:rsidP="00FF66BF">
      <w:pPr>
        <w:pStyle w:val="Heading2"/>
      </w:pPr>
      <w:r w:rsidRPr="00C81F33">
        <w:lastRenderedPageBreak/>
        <w:t>References</w:t>
      </w:r>
    </w:p>
    <w:p w14:paraId="2FA42A9E" w14:textId="77777777" w:rsidR="00E67C9F" w:rsidRPr="00C81F33" w:rsidRDefault="00E67C9F" w:rsidP="00DA22C0">
      <w:pPr>
        <w:pStyle w:val="ReferenceOrdered"/>
      </w:pPr>
      <w:r w:rsidRPr="00C81F33">
        <w:t>Cablivi [package insert]. Cambridge, MA: Genzyme Corporation; April 2023.</w:t>
      </w:r>
    </w:p>
    <w:p w14:paraId="4803B6CE" w14:textId="77777777" w:rsidR="00E67C9F" w:rsidRPr="00C81F33" w:rsidRDefault="00E67C9F" w:rsidP="00DA22C0">
      <w:pPr>
        <w:pStyle w:val="ReferenceOrdered"/>
      </w:pPr>
      <w:r w:rsidRPr="00C81F33">
        <w:t xml:space="preserve">Scully M, </w:t>
      </w:r>
      <w:proofErr w:type="spellStart"/>
      <w:r w:rsidRPr="00C81F33">
        <w:t>Cataland</w:t>
      </w:r>
      <w:proofErr w:type="spellEnd"/>
      <w:r w:rsidRPr="00C81F33">
        <w:t xml:space="preserve"> SR, </w:t>
      </w:r>
      <w:proofErr w:type="spellStart"/>
      <w:r w:rsidRPr="00C81F33">
        <w:t>Peyvandi</w:t>
      </w:r>
      <w:proofErr w:type="spellEnd"/>
      <w:r w:rsidRPr="00C81F33">
        <w:t xml:space="preserve"> F; et al. Caplacizumab treatment for acquired thrombotic thrombocytopenic purpura. </w:t>
      </w:r>
      <w:r w:rsidRPr="00C81F33">
        <w:rPr>
          <w:i/>
          <w:iCs/>
        </w:rPr>
        <w:t>N Engl J Med</w:t>
      </w:r>
      <w:r w:rsidRPr="00C81F33">
        <w:t>. 2019;380(4):335-346.</w:t>
      </w:r>
    </w:p>
    <w:p w14:paraId="5188DAA5" w14:textId="77777777" w:rsidR="00E67C9F" w:rsidRPr="00C81F33" w:rsidRDefault="00E67C9F" w:rsidP="00DA22C0">
      <w:pPr>
        <w:pStyle w:val="ReferenceOrdered"/>
      </w:pPr>
      <w:r w:rsidRPr="00C81F33">
        <w:t xml:space="preserve">Sadler JE. Pathophysiology of thrombotic thrombocytopenic purpura. </w:t>
      </w:r>
      <w:r w:rsidRPr="00C81F33">
        <w:rPr>
          <w:i/>
          <w:iCs/>
        </w:rPr>
        <w:t xml:space="preserve">Blood. </w:t>
      </w:r>
      <w:r w:rsidRPr="00C81F33">
        <w:t>2017;130(10):1181-1188.</w:t>
      </w:r>
    </w:p>
    <w:p w14:paraId="0A38D5AB" w14:textId="77777777" w:rsidR="00E67C9F" w:rsidRPr="00C81F33" w:rsidRDefault="00E67C9F" w:rsidP="00DA22C0">
      <w:pPr>
        <w:pStyle w:val="ReferenceOrdered"/>
      </w:pPr>
      <w:r w:rsidRPr="00C81F33">
        <w:t xml:space="preserve">Scully M, </w:t>
      </w:r>
      <w:proofErr w:type="spellStart"/>
      <w:r w:rsidRPr="00C81F33">
        <w:t>Cataland</w:t>
      </w:r>
      <w:proofErr w:type="spellEnd"/>
      <w:r w:rsidRPr="00C81F33">
        <w:t xml:space="preserve"> S, </w:t>
      </w:r>
      <w:proofErr w:type="spellStart"/>
      <w:r w:rsidRPr="00C81F33">
        <w:t>Coppo</w:t>
      </w:r>
      <w:proofErr w:type="spellEnd"/>
      <w:r w:rsidRPr="00C81F33">
        <w:t xml:space="preserve"> P, et al. Consensus on the standardization of terminology in thrombotic thrombocytopenic purpura and related thrombotic </w:t>
      </w:r>
      <w:proofErr w:type="spellStart"/>
      <w:r w:rsidRPr="00C81F33">
        <w:t>microantiopathies</w:t>
      </w:r>
      <w:proofErr w:type="spellEnd"/>
      <w:r w:rsidRPr="00C81F33">
        <w:t xml:space="preserve">. </w:t>
      </w:r>
      <w:r w:rsidRPr="00C81F33">
        <w:rPr>
          <w:i/>
          <w:iCs/>
        </w:rPr>
        <w:t xml:space="preserve">J </w:t>
      </w:r>
      <w:proofErr w:type="spellStart"/>
      <w:r w:rsidRPr="00C81F33">
        <w:rPr>
          <w:i/>
          <w:iCs/>
        </w:rPr>
        <w:t>Thromb</w:t>
      </w:r>
      <w:proofErr w:type="spellEnd"/>
      <w:r w:rsidRPr="00C81F33">
        <w:rPr>
          <w:i/>
          <w:iCs/>
        </w:rPr>
        <w:t xml:space="preserve"> </w:t>
      </w:r>
      <w:proofErr w:type="spellStart"/>
      <w:r w:rsidRPr="00C81F33">
        <w:rPr>
          <w:i/>
          <w:iCs/>
        </w:rPr>
        <w:t>Haemost</w:t>
      </w:r>
      <w:proofErr w:type="spellEnd"/>
      <w:r w:rsidRPr="00C81F33">
        <w:t>. 2017; 15(2):312-322.</w:t>
      </w:r>
    </w:p>
    <w:p w14:paraId="4169BFE9" w14:textId="6AAA3E3B" w:rsidR="00E67C9F" w:rsidRPr="00C81F33" w:rsidRDefault="00E67C9F" w:rsidP="00DA22C0">
      <w:pPr>
        <w:pStyle w:val="ReferenceOrdered"/>
      </w:pPr>
      <w:r w:rsidRPr="00C81F33">
        <w:t xml:space="preserve">Scully M, Rayment R, Clark A, et al. A British Society for </w:t>
      </w:r>
      <w:proofErr w:type="spellStart"/>
      <w:r w:rsidRPr="00C81F33">
        <w:t>Haematology</w:t>
      </w:r>
      <w:proofErr w:type="spellEnd"/>
      <w:r w:rsidRPr="00C81F33">
        <w:t xml:space="preserve"> Guideline: Diagnosis and management of thrombotic thrombocytopenic purpura and other thrombotic microangiopathies. </w:t>
      </w:r>
      <w:r w:rsidRPr="00C81F33">
        <w:rPr>
          <w:i/>
          <w:iCs/>
        </w:rPr>
        <w:t>Br J Haematol</w:t>
      </w:r>
      <w:r w:rsidRPr="00C81F33">
        <w:t>. 2023;203(4)546-563.</w:t>
      </w:r>
    </w:p>
    <w:p w14:paraId="47E1A10C" w14:textId="59F42AE3" w:rsidR="00C44990" w:rsidRPr="00F65BDC" w:rsidRDefault="00E67C9F" w:rsidP="00F65BDC">
      <w:pPr>
        <w:pStyle w:val="ReferenceOrdered"/>
      </w:pPr>
      <w:r w:rsidRPr="00C81F33">
        <w:t xml:space="preserve">Westwood JP, Thomas M, Alwan F, et al. Rituximab prophylaxis to prevent thrombotic thrombocytopenic purpura relapse: outcome and evaluation of dosing regimens. </w:t>
      </w:r>
      <w:r w:rsidRPr="00C81F33">
        <w:rPr>
          <w:i/>
          <w:iCs/>
        </w:rPr>
        <w:t>Blood Adv.</w:t>
      </w:r>
      <w:r w:rsidRPr="00C81F33">
        <w:t xml:space="preserve"> 2017; 1(15):1159-1166.</w:t>
      </w:r>
    </w:p>
    <w:sectPr w:rsidR="00C44990" w:rsidRPr="00F65BDC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28F22" w14:textId="77777777" w:rsidR="004B1998" w:rsidRDefault="004B1998">
      <w:r>
        <w:separator/>
      </w:r>
    </w:p>
  </w:endnote>
  <w:endnote w:type="continuationSeparator" w:id="0">
    <w:p w14:paraId="22C805B6" w14:textId="77777777" w:rsidR="004B1998" w:rsidRDefault="004B1998">
      <w:r>
        <w:continuationSeparator/>
      </w:r>
    </w:p>
  </w:endnote>
  <w:endnote w:type="continuationNotice" w:id="1">
    <w:p w14:paraId="2163EC77" w14:textId="77777777" w:rsidR="004B1998" w:rsidRDefault="004B1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97D763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5BDC" w:rsidRPr="00F65BDC">
      <w:rPr>
        <w:rFonts w:cs="Arial"/>
        <w:noProof/>
        <w:sz w:val="16"/>
        <w:szCs w:val="16"/>
      </w:rPr>
      <w:t>Cablivi</w:t>
    </w:r>
    <w:r w:rsidR="00F65BDC">
      <w:rPr>
        <w:rFonts w:cs="Arial"/>
        <w:noProof/>
        <w:snapToGrid w:val="0"/>
        <w:color w:val="000000"/>
        <w:sz w:val="16"/>
        <w:szCs w:val="16"/>
      </w:rPr>
      <w:t xml:space="preserve"> SGM 2871-A</w:t>
    </w:r>
    <w:r w:rsidR="00F65BDC" w:rsidRPr="00F65BDC">
      <w:rPr>
        <w:rFonts w:cs="Arial"/>
        <w:noProof/>
        <w:sz w:val="16"/>
        <w:szCs w:val="16"/>
      </w:rPr>
      <w:t xml:space="preserve"> </w:t>
    </w:r>
    <w:r w:rsidR="00C85EB1">
      <w:rPr>
        <w:rFonts w:cs="Arial"/>
        <w:noProof/>
        <w:sz w:val="16"/>
        <w:szCs w:val="16"/>
      </w:rPr>
      <w:t>P</w:t>
    </w:r>
    <w:r w:rsidR="00F65BDC" w:rsidRPr="00F65BDC">
      <w:rPr>
        <w:rFonts w:cs="Arial"/>
        <w:noProof/>
        <w:sz w:val="16"/>
        <w:szCs w:val="16"/>
      </w:rPr>
      <w:t>2024</w:t>
    </w:r>
    <w:r w:rsidR="00F65BDC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9469C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BDA8104" w:rsidR="00F75C81" w:rsidRPr="00F65BDC" w:rsidRDefault="00C36B72" w:rsidP="00F65BD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D55D64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5BDC" w:rsidRPr="00F65BDC">
      <w:rPr>
        <w:rFonts w:cs="Arial"/>
        <w:noProof/>
        <w:sz w:val="16"/>
        <w:szCs w:val="16"/>
      </w:rPr>
      <w:t>Cablivi</w:t>
    </w:r>
    <w:r w:rsidR="00F65BDC">
      <w:rPr>
        <w:rFonts w:cs="Arial"/>
        <w:noProof/>
        <w:snapToGrid w:val="0"/>
        <w:color w:val="000000"/>
        <w:sz w:val="16"/>
        <w:szCs w:val="16"/>
      </w:rPr>
      <w:t xml:space="preserve"> SGM 2871-A</w:t>
    </w:r>
    <w:r w:rsidR="00F65BDC" w:rsidRPr="00F65BDC">
      <w:rPr>
        <w:rFonts w:cs="Arial"/>
        <w:noProof/>
        <w:sz w:val="16"/>
        <w:szCs w:val="16"/>
      </w:rPr>
      <w:t xml:space="preserve"> </w:t>
    </w:r>
    <w:r w:rsidR="00C85EB1">
      <w:rPr>
        <w:rFonts w:cs="Arial"/>
        <w:noProof/>
        <w:sz w:val="16"/>
        <w:szCs w:val="16"/>
      </w:rPr>
      <w:t>P</w:t>
    </w:r>
    <w:r w:rsidR="00F65BDC" w:rsidRPr="00F65BDC">
      <w:rPr>
        <w:rFonts w:cs="Arial"/>
        <w:noProof/>
        <w:sz w:val="16"/>
        <w:szCs w:val="16"/>
      </w:rPr>
      <w:t>2024</w:t>
    </w:r>
    <w:r w:rsidR="00F65BDC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935708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63F65EA" w:rsidR="00ED04EC" w:rsidRPr="00F65BDC" w:rsidRDefault="00F50D98" w:rsidP="00F65BD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0360" w14:textId="77777777" w:rsidR="004B1998" w:rsidRDefault="004B1998">
      <w:r>
        <w:separator/>
      </w:r>
    </w:p>
  </w:footnote>
  <w:footnote w:type="continuationSeparator" w:id="0">
    <w:p w14:paraId="5C04671B" w14:textId="77777777" w:rsidR="004B1998" w:rsidRDefault="004B1998">
      <w:r>
        <w:continuationSeparator/>
      </w:r>
    </w:p>
  </w:footnote>
  <w:footnote w:type="continuationNotice" w:id="1">
    <w:p w14:paraId="4F390EC3" w14:textId="77777777" w:rsidR="004B1998" w:rsidRDefault="004B19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81F3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81F3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94EB3E2" w:rsidR="00ED04EC" w:rsidRPr="00C81F33" w:rsidRDefault="002B232F" w:rsidP="00ED04EC">
          <w:pPr>
            <w:pStyle w:val="Header"/>
            <w:rPr>
              <w:rFonts w:cs="Arial"/>
              <w:sz w:val="16"/>
              <w:szCs w:val="16"/>
            </w:rPr>
          </w:pPr>
          <w:r w:rsidRPr="00C81F33">
            <w:rPr>
              <w:rFonts w:cs="Arial"/>
              <w:sz w:val="16"/>
              <w:szCs w:val="16"/>
            </w:rPr>
            <w:t>2871-A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2E20CE"/>
    <w:multiLevelType w:val="hybridMultilevel"/>
    <w:tmpl w:val="0D12A7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49E1360"/>
    <w:multiLevelType w:val="hybridMultilevel"/>
    <w:tmpl w:val="E048A58C"/>
    <w:lvl w:ilvl="0" w:tplc="CFEABC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80636"/>
    <w:multiLevelType w:val="hybridMultilevel"/>
    <w:tmpl w:val="BC9C62FE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CFEABC7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1440" w:hanging="360"/>
      </w:p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8347DA"/>
    <w:multiLevelType w:val="hybridMultilevel"/>
    <w:tmpl w:val="AAA28346"/>
    <w:lvl w:ilvl="0" w:tplc="CE9CC0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425B4"/>
    <w:multiLevelType w:val="hybridMultilevel"/>
    <w:tmpl w:val="CBB80102"/>
    <w:lvl w:ilvl="0" w:tplc="CE9CC074">
      <w:start w:val="1"/>
      <w:numFmt w:val="bullet"/>
      <w:lvlText w:val=""/>
      <w:lvlJc w:val="left"/>
      <w:pPr>
        <w:ind w:left="1620" w:hanging="720"/>
      </w:pPr>
      <w:rPr>
        <w:rFonts w:ascii="Symbol" w:hAnsi="Symbol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A416C"/>
    <w:multiLevelType w:val="hybridMultilevel"/>
    <w:tmpl w:val="7DF6BB92"/>
    <w:lvl w:ilvl="0" w:tplc="F04E7FD0">
      <w:start w:val="1"/>
      <w:numFmt w:val="decimal"/>
      <w:lvlText w:val="%1."/>
      <w:lvlJc w:val="left"/>
      <w:pPr>
        <w:ind w:left="16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42835AA6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CD159B"/>
    <w:multiLevelType w:val="hybridMultilevel"/>
    <w:tmpl w:val="065EA2E2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5775F3"/>
    <w:multiLevelType w:val="hybridMultilevel"/>
    <w:tmpl w:val="0420A78A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411F4"/>
    <w:multiLevelType w:val="hybridMultilevel"/>
    <w:tmpl w:val="F96ADC40"/>
    <w:lvl w:ilvl="0" w:tplc="CE9CC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A56A0"/>
    <w:multiLevelType w:val="hybridMultilevel"/>
    <w:tmpl w:val="F474B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153DC"/>
    <w:multiLevelType w:val="hybridMultilevel"/>
    <w:tmpl w:val="D1D096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4921869">
    <w:abstractNumId w:val="11"/>
  </w:num>
  <w:num w:numId="2" w16cid:durableId="606935877">
    <w:abstractNumId w:val="34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6"/>
  </w:num>
  <w:num w:numId="18" w16cid:durableId="299724409">
    <w:abstractNumId w:val="30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7"/>
  </w:num>
  <w:num w:numId="22" w16cid:durableId="1472481103">
    <w:abstractNumId w:val="32"/>
  </w:num>
  <w:num w:numId="23" w16cid:durableId="1997420403">
    <w:abstractNumId w:val="35"/>
  </w:num>
  <w:num w:numId="24" w16cid:durableId="33312838">
    <w:abstractNumId w:val="31"/>
  </w:num>
  <w:num w:numId="25" w16cid:durableId="507404939">
    <w:abstractNumId w:val="19"/>
  </w:num>
  <w:num w:numId="26" w16cid:durableId="1950313333">
    <w:abstractNumId w:val="26"/>
  </w:num>
  <w:num w:numId="27" w16cid:durableId="1866016584">
    <w:abstractNumId w:val="22"/>
  </w:num>
  <w:num w:numId="28" w16cid:durableId="1858419197">
    <w:abstractNumId w:val="17"/>
  </w:num>
  <w:num w:numId="29" w16cid:durableId="935212502">
    <w:abstractNumId w:val="27"/>
  </w:num>
  <w:num w:numId="30" w16cid:durableId="1002052662">
    <w:abstractNumId w:val="13"/>
  </w:num>
  <w:num w:numId="31" w16cid:durableId="1502695548">
    <w:abstractNumId w:val="38"/>
  </w:num>
  <w:num w:numId="32" w16cid:durableId="1355308961">
    <w:abstractNumId w:val="33"/>
  </w:num>
  <w:num w:numId="33" w16cid:durableId="972170681">
    <w:abstractNumId w:val="18"/>
  </w:num>
  <w:num w:numId="34" w16cid:durableId="1743217264">
    <w:abstractNumId w:val="14"/>
  </w:num>
  <w:num w:numId="35" w16cid:durableId="2030794835">
    <w:abstractNumId w:val="29"/>
  </w:num>
  <w:num w:numId="36" w16cid:durableId="1453326748">
    <w:abstractNumId w:val="23"/>
  </w:num>
  <w:num w:numId="37" w16cid:durableId="642391984">
    <w:abstractNumId w:val="21"/>
  </w:num>
  <w:num w:numId="38" w16cid:durableId="1514414523">
    <w:abstractNumId w:val="25"/>
  </w:num>
  <w:num w:numId="39" w16cid:durableId="1543712863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3CC7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A09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4E4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2EF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32F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CCF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361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998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00A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91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D19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4A4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6903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3931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B03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03A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3CDF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2C8E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0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D38"/>
    <w:rsid w:val="009B518B"/>
    <w:rsid w:val="009B579E"/>
    <w:rsid w:val="009B5866"/>
    <w:rsid w:val="009B5A24"/>
    <w:rsid w:val="009B6153"/>
    <w:rsid w:val="009B7708"/>
    <w:rsid w:val="009C0A23"/>
    <w:rsid w:val="009C2E32"/>
    <w:rsid w:val="009C3226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66A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274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0D7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233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52E2"/>
    <w:rsid w:val="00B961BF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41AE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482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1F33"/>
    <w:rsid w:val="00C846AC"/>
    <w:rsid w:val="00C8494C"/>
    <w:rsid w:val="00C85BB7"/>
    <w:rsid w:val="00C85EB1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4F1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2838"/>
    <w:rsid w:val="00D033D0"/>
    <w:rsid w:val="00D0352D"/>
    <w:rsid w:val="00D03C62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2C0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B7F08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67C9F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D20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BDC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6D0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openxmlformats.org/package/2006/metadata/core-properties"/>
    <ds:schemaRef ds:uri="ce173f13-e3a2-4c5f-8c54-d0382ae88016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d8141934-0c15-45a3-8ee8-53e64ae38189"/>
    <ds:schemaRef ds:uri="043d2832-9d9b-42b0-abd6-be76ec978c95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D063835-688F-467A-BFD2-CAA4EC43FA2E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584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Cablivi 2871-A SGM 2024</vt:lpstr>
    </vt:vector>
  </TitlesOfParts>
  <Company>PCS Health Systems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Cablivi 2871-A SGM 2024</dc:title>
  <dc:subject/>
  <dc:creator>CVS Caremark</dc:creator>
  <cp:keywords/>
  <cp:lastModifiedBy>Huerta, Linda M</cp:lastModifiedBy>
  <cp:revision>11</cp:revision>
  <cp:lastPrinted>2018-01-09T11:01:00Z</cp:lastPrinted>
  <dcterms:created xsi:type="dcterms:W3CDTF">2024-07-15T09:49:00Z</dcterms:created>
  <dcterms:modified xsi:type="dcterms:W3CDTF">2024-11-11T23:17:00Z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1568800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